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93" w:rsidRDefault="00FF3093" w:rsidP="00FF3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  <w:r>
        <w:rPr>
          <w:rFonts w:eastAsia="Times New Roman"/>
          <w:b/>
          <w:bCs/>
        </w:rPr>
        <w:t xml:space="preserve">           </w:t>
      </w:r>
      <w:r>
        <w:rPr>
          <w:rFonts w:eastAsia="Times New Roman"/>
        </w:rPr>
        <w:t xml:space="preserve">                   </w:t>
      </w:r>
      <w:r>
        <w:rPr>
          <w:noProof/>
          <w:lang w:eastAsia="hr-HR"/>
        </w:rPr>
        <w:drawing>
          <wp:inline distT="0" distB="0" distL="0" distR="0" wp14:anchorId="372696D0" wp14:editId="5E747131">
            <wp:extent cx="48577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" t="-133" r="-16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:rsidR="00FF3093" w:rsidRPr="00404094" w:rsidRDefault="00FF3093" w:rsidP="00FF3093">
      <w:pPr>
        <w:rPr>
          <w:b/>
          <w:bCs/>
        </w:rPr>
      </w:pPr>
      <w:r>
        <w:rPr>
          <w:b/>
          <w:bCs/>
        </w:rPr>
        <w:t>REPUBLIKA HRVATSKA</w:t>
      </w:r>
    </w:p>
    <w:p w:rsidR="00FF3093" w:rsidRPr="00404094" w:rsidRDefault="00FF3093" w:rsidP="00FF3093">
      <w:r>
        <w:rPr>
          <w:b/>
          <w:bCs/>
        </w:rPr>
        <w:t>OSJEČKO-BARANJSKA ŽUPANIJA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OPĆINA MARIJANCI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JEDINSTVENI UPRAVNI ODJEL</w:t>
      </w:r>
    </w:p>
    <w:p w:rsidR="00FF3093" w:rsidRDefault="00FF3093" w:rsidP="00FF3093">
      <w:pPr>
        <w:rPr>
          <w:b/>
          <w:bCs/>
        </w:rPr>
      </w:pPr>
    </w:p>
    <w:p w:rsidR="00FF3093" w:rsidRDefault="00FF3093" w:rsidP="00FF3093">
      <w:pPr>
        <w:rPr>
          <w:bCs/>
        </w:rPr>
      </w:pPr>
      <w:r w:rsidRPr="00404094">
        <w:rPr>
          <w:bCs/>
        </w:rPr>
        <w:t xml:space="preserve">Klasa: </w:t>
      </w:r>
      <w:r w:rsidR="00BC46BA">
        <w:rPr>
          <w:bCs/>
        </w:rPr>
        <w:t xml:space="preserve"> 400-01/25</w:t>
      </w:r>
      <w:r>
        <w:rPr>
          <w:bCs/>
        </w:rPr>
        <w:t>-01/01</w:t>
      </w:r>
    </w:p>
    <w:p w:rsidR="00FF3093" w:rsidRDefault="00BC46BA" w:rsidP="00FF3093">
      <w:pPr>
        <w:rPr>
          <w:bCs/>
        </w:rPr>
      </w:pPr>
      <w:r>
        <w:rPr>
          <w:bCs/>
        </w:rPr>
        <w:t>Urbroj: 2158-27-02-25</w:t>
      </w:r>
      <w:r w:rsidR="00CB2C3F">
        <w:rPr>
          <w:bCs/>
        </w:rPr>
        <w:t>-10</w:t>
      </w:r>
      <w:bookmarkStart w:id="0" w:name="_GoBack"/>
      <w:bookmarkEnd w:id="0"/>
    </w:p>
    <w:p w:rsidR="00FF3093" w:rsidRPr="00404094" w:rsidRDefault="00E0136D" w:rsidP="00FF3093">
      <w:pPr>
        <w:rPr>
          <w:bCs/>
        </w:rPr>
      </w:pPr>
      <w:r>
        <w:rPr>
          <w:bCs/>
        </w:rPr>
        <w:t>Ma</w:t>
      </w:r>
      <w:r w:rsidR="00915B66">
        <w:rPr>
          <w:bCs/>
        </w:rPr>
        <w:t>rijanci, 10. travnja</w:t>
      </w:r>
      <w:r w:rsidR="00BC46BA">
        <w:rPr>
          <w:bCs/>
        </w:rPr>
        <w:t xml:space="preserve"> 2025</w:t>
      </w:r>
      <w:r w:rsidR="00FF3093">
        <w:rPr>
          <w:bCs/>
        </w:rPr>
        <w:t>.</w:t>
      </w:r>
    </w:p>
    <w:p w:rsidR="00FF3093" w:rsidRDefault="00FF3093" w:rsidP="00FF3093">
      <w:pPr>
        <w:rPr>
          <w:b/>
          <w:bCs/>
        </w:rPr>
      </w:pPr>
    </w:p>
    <w:p w:rsidR="00FF3093" w:rsidRDefault="00FF3093" w:rsidP="00FF3093">
      <w:r>
        <w:t xml:space="preserve"> </w:t>
      </w:r>
    </w:p>
    <w:p w:rsidR="00FF3093" w:rsidRDefault="00FF3093" w:rsidP="00FF3093"/>
    <w:p w:rsidR="00FF3093" w:rsidRPr="00B00FE0" w:rsidRDefault="00FF3093" w:rsidP="00FF3093">
      <w:r w:rsidRPr="00B00FE0">
        <w:t>MB: 02722682</w:t>
      </w:r>
    </w:p>
    <w:p w:rsidR="00FF3093" w:rsidRPr="00B00FE0" w:rsidRDefault="00FF3093" w:rsidP="00FF3093">
      <w:r w:rsidRPr="00B00FE0">
        <w:t>ŠIFRA DJELATNOSTI: 8411</w:t>
      </w:r>
    </w:p>
    <w:p w:rsidR="00FF3093" w:rsidRPr="00B00FE0" w:rsidRDefault="00FF3093" w:rsidP="00FF3093">
      <w:r w:rsidRPr="00B00FE0">
        <w:t xml:space="preserve">RAZDOBLJE: </w:t>
      </w:r>
      <w:r w:rsidR="002E59C4">
        <w:t>2025-03</w:t>
      </w:r>
      <w:r w:rsidR="00AB404B">
        <w:tab/>
      </w:r>
      <w:r w:rsidR="00AB404B">
        <w:tab/>
      </w:r>
      <w:r w:rsidR="00AB404B">
        <w:tab/>
      </w:r>
      <w:r w:rsidR="00AB404B">
        <w:tab/>
      </w:r>
      <w:r w:rsidR="00AB404B">
        <w:tab/>
        <w:t>RAZINA: 22</w:t>
      </w:r>
    </w:p>
    <w:p w:rsidR="00FF3093" w:rsidRPr="00B00FE0" w:rsidRDefault="00FF3093" w:rsidP="00FF3093"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RAZDJEL: 0</w:t>
      </w:r>
    </w:p>
    <w:p w:rsidR="00FF3093" w:rsidRPr="00B00FE0" w:rsidRDefault="00FF3093" w:rsidP="00FF3093"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RKP: 36119</w:t>
      </w:r>
    </w:p>
    <w:p w:rsidR="00FF3093" w:rsidRPr="00B00FE0" w:rsidRDefault="00FF3093" w:rsidP="00FF3093"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ŠIFRA ŽUPANIJE: 14</w:t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ŠIFRA OPĆINE: 257</w:t>
      </w:r>
    </w:p>
    <w:p w:rsidR="00FF3093" w:rsidRDefault="00FF3093" w:rsidP="00FF3093"/>
    <w:p w:rsidR="00C01F9F" w:rsidRDefault="00C01F9F" w:rsidP="00FF3093"/>
    <w:p w:rsidR="00C01F9F" w:rsidRPr="00B00FE0" w:rsidRDefault="00C01F9F" w:rsidP="00FF3093"/>
    <w:p w:rsidR="00FF3093" w:rsidRPr="00B00FE0" w:rsidRDefault="00FF3093" w:rsidP="00FF3093"/>
    <w:p w:rsidR="00FF3093" w:rsidRPr="00B00FE0" w:rsidRDefault="001E2985" w:rsidP="00FF3093">
      <w:pPr>
        <w:jc w:val="center"/>
        <w:rPr>
          <w:b/>
        </w:rPr>
      </w:pPr>
      <w:r>
        <w:rPr>
          <w:b/>
        </w:rPr>
        <w:t>BILJEŠKE</w:t>
      </w:r>
      <w:r w:rsidR="00FF3093" w:rsidRPr="00B00FE0">
        <w:rPr>
          <w:b/>
        </w:rPr>
        <w:t xml:space="preserve"> UZ FINANCIJSKA IZVJEŠĆA</w:t>
      </w:r>
    </w:p>
    <w:p w:rsidR="00FF3093" w:rsidRPr="00B00FE0" w:rsidRDefault="00FF3093" w:rsidP="00FF3093">
      <w:pPr>
        <w:jc w:val="center"/>
        <w:rPr>
          <w:b/>
        </w:rPr>
      </w:pPr>
      <w:r>
        <w:rPr>
          <w:b/>
        </w:rPr>
        <w:t xml:space="preserve"> </w:t>
      </w:r>
      <w:r w:rsidR="00993FE8">
        <w:rPr>
          <w:b/>
        </w:rPr>
        <w:t>ZA RAZDOBLJE 01.01.2025. – 31.03.2025</w:t>
      </w:r>
      <w:r w:rsidRPr="00B00FE0">
        <w:rPr>
          <w:b/>
        </w:rPr>
        <w:t>.</w:t>
      </w:r>
    </w:p>
    <w:p w:rsidR="00FF3093" w:rsidRPr="00B00FE0" w:rsidRDefault="00FF3093" w:rsidP="00FF3093">
      <w:pPr>
        <w:jc w:val="center"/>
      </w:pPr>
    </w:p>
    <w:p w:rsidR="00FF3093" w:rsidRPr="00B00FE0" w:rsidRDefault="00FF3093" w:rsidP="00FF3093"/>
    <w:p w:rsidR="00FF3093" w:rsidRPr="00B00FE0" w:rsidRDefault="00FF3093" w:rsidP="00FF3093">
      <w:r w:rsidRPr="00B00FE0">
        <w:t>BILJEŠKE UZ OBRAZAC PR-RAS</w:t>
      </w:r>
    </w:p>
    <w:p w:rsidR="00FF3093" w:rsidRPr="00B00FE0" w:rsidRDefault="00FF3093" w:rsidP="00FF3093"/>
    <w:p w:rsidR="00FF3093" w:rsidRPr="00B00FE0" w:rsidRDefault="00FF3093" w:rsidP="00FF3093">
      <w:r w:rsidRPr="00B00FE0">
        <w:t>Bilješka broj 1.</w:t>
      </w:r>
    </w:p>
    <w:p w:rsidR="00285BBD" w:rsidRDefault="00FF3093" w:rsidP="00FF3093">
      <w:r>
        <w:t>O</w:t>
      </w:r>
      <w:r w:rsidRPr="00B00FE0">
        <w:t xml:space="preserve">stvareni </w:t>
      </w:r>
      <w:r>
        <w:t xml:space="preserve">su prihodi </w:t>
      </w:r>
      <w:r w:rsidR="00993FE8">
        <w:t>poslovanja u iznosu 531.318,66</w:t>
      </w:r>
      <w:r w:rsidR="00BD572E">
        <w:t xml:space="preserve"> eur</w:t>
      </w:r>
      <w:r w:rsidR="003212E2">
        <w:t>a</w:t>
      </w:r>
      <w:r w:rsidR="00BD572E">
        <w:t xml:space="preserve">  te su veći</w:t>
      </w:r>
      <w:r w:rsidRPr="00B00FE0">
        <w:t xml:space="preserve"> u odnosu na </w:t>
      </w:r>
      <w:r>
        <w:t>prošlu godi</w:t>
      </w:r>
      <w:r w:rsidR="00912C93">
        <w:t>n</w:t>
      </w:r>
      <w:r w:rsidR="006B7520">
        <w:t xml:space="preserve">u </w:t>
      </w:r>
      <w:r w:rsidR="00993FE8">
        <w:t>kada su iznosili 315.310,67</w:t>
      </w:r>
      <w:r w:rsidR="00BD572E">
        <w:t xml:space="preserve"> eur</w:t>
      </w:r>
      <w:r w:rsidR="00D2015C">
        <w:t>a</w:t>
      </w:r>
      <w:r w:rsidRPr="00B00FE0">
        <w:t>.</w:t>
      </w:r>
      <w:r w:rsidR="00993FE8">
        <w:t xml:space="preserve"> O</w:t>
      </w:r>
      <w:r w:rsidR="00F2174F">
        <w:t xml:space="preserve">dstupanje u odnosu na prošlu godinu bilježimo </w:t>
      </w:r>
      <w:r w:rsidR="00F87022">
        <w:t>kod prihoda od poreza i prireza na dohodak koji je veći u odn</w:t>
      </w:r>
      <w:r w:rsidR="002046FD">
        <w:t>osu na prošlu god</w:t>
      </w:r>
      <w:r w:rsidR="00993FE8">
        <w:t>inu za 10,30%</w:t>
      </w:r>
      <w:r w:rsidR="00F87022">
        <w:t>. B</w:t>
      </w:r>
      <w:r w:rsidR="007B7A9E">
        <w:t xml:space="preserve">ilježimo veće odstupanje kapitalnih </w:t>
      </w:r>
      <w:r w:rsidR="00F87022">
        <w:t xml:space="preserve">pomoći </w:t>
      </w:r>
      <w:r w:rsidR="007B7A9E">
        <w:t>proračuna iz drugih proračuna</w:t>
      </w:r>
      <w:r w:rsidR="00285BBD">
        <w:t xml:space="preserve"> šifra 6332</w:t>
      </w:r>
      <w:r w:rsidR="007B7A9E">
        <w:t xml:space="preserve"> </w:t>
      </w:r>
      <w:r w:rsidR="00F87022">
        <w:t xml:space="preserve"> koja su p</w:t>
      </w:r>
      <w:r w:rsidR="00285BBD">
        <w:t>rošle godine iznosila 20.000,00</w:t>
      </w:r>
      <w:r w:rsidR="007B7A9E">
        <w:t xml:space="preserve"> </w:t>
      </w:r>
      <w:r w:rsidR="00F87022">
        <w:t>eura dok su ove godine</w:t>
      </w:r>
      <w:r w:rsidR="00285BBD">
        <w:t xml:space="preserve"> ostvarena u iznosu od 215.00</w:t>
      </w:r>
      <w:r w:rsidR="007B7A9E">
        <w:t>0,00</w:t>
      </w:r>
      <w:r w:rsidR="00F87022">
        <w:t xml:space="preserve"> eur</w:t>
      </w:r>
      <w:r w:rsidR="00D2015C">
        <w:t>a</w:t>
      </w:r>
      <w:r w:rsidR="00285BBD">
        <w:t xml:space="preserve"> za kapitalni projekt Sportsko rekreacijski centar Marijanci. Na šifri 6353 bilježimo povećanje prihoda od fiskalnog izravnanja  u 100% iznosu samo iz razloga što su oni u prethodnm razdoblju bili iskazani na  šifri 6331 gdje bilježimo manje prihode u odnosu na prošlu godinu.</w:t>
      </w:r>
    </w:p>
    <w:p w:rsidR="00285BBD" w:rsidRDefault="00285BBD" w:rsidP="00FF3093"/>
    <w:p w:rsidR="00C01F9F" w:rsidRDefault="009F7B98" w:rsidP="00FF3093">
      <w:r>
        <w:t>Ostvareni prihodi od prod</w:t>
      </w:r>
      <w:r w:rsidR="007B7A9E">
        <w:t>aje ne</w:t>
      </w:r>
      <w:r w:rsidR="00324A32">
        <w:t xml:space="preserve">financijske imovine </w:t>
      </w:r>
      <w:r w:rsidR="00285BBD">
        <w:t>su znatno veći i iznose 404.359,48</w:t>
      </w:r>
      <w:r w:rsidR="00214328">
        <w:t xml:space="preserve"> eur</w:t>
      </w:r>
      <w:r w:rsidR="00D2015C">
        <w:t>a</w:t>
      </w:r>
      <w:r>
        <w:t xml:space="preserve"> u odnosu na prošlu go</w:t>
      </w:r>
      <w:r w:rsidR="00285BBD">
        <w:t>dinu kada su iznosili 391,54</w:t>
      </w:r>
      <w:r>
        <w:t xml:space="preserve"> </w:t>
      </w:r>
      <w:r w:rsidR="00214328">
        <w:t>eur</w:t>
      </w:r>
      <w:r w:rsidR="00D2015C">
        <w:t>a</w:t>
      </w:r>
      <w:r w:rsidR="001F546B">
        <w:t xml:space="preserve">. </w:t>
      </w:r>
      <w:r w:rsidR="00D938E5">
        <w:t xml:space="preserve">Znatno ostvarenje prihoda odnosi se na prihode od  prodaje poljoprivrednog zemljišta čije se ostvarenje očekivalo u prethodnoj godini. </w:t>
      </w:r>
    </w:p>
    <w:p w:rsidR="001F546B" w:rsidRDefault="001F546B" w:rsidP="00FF3093"/>
    <w:p w:rsidR="00472689" w:rsidRDefault="00FF3093" w:rsidP="001F546B">
      <w:r w:rsidRPr="00B00FE0">
        <w:t>Bilješka broj 2.</w:t>
      </w:r>
    </w:p>
    <w:p w:rsidR="000463BA" w:rsidRDefault="00D938E5" w:rsidP="00FF3093">
      <w:r>
        <w:t>Rashodi poslovanja neznatno su manji u odnosu na prošlu</w:t>
      </w:r>
      <w:r w:rsidR="00915B66">
        <w:t xml:space="preserve">. </w:t>
      </w:r>
      <w:r>
        <w:t>Najveće odstupanje bilježimo kod materijalnih rashoda koji su manji u odnosu na isto izvještajno razdoblje</w:t>
      </w:r>
      <w:r w:rsidR="00915B66">
        <w:t xml:space="preserve"> prethodne godine</w:t>
      </w:r>
      <w:r>
        <w:t xml:space="preserve"> te </w:t>
      </w:r>
      <w:r>
        <w:lastRenderedPageBreak/>
        <w:t>kod  rashoda za zaposlene iz razloga smanjena broja zaposlenih u odnosu na prošlogodišnje razdoblje. Rashodi za naknade građanima i kućanstvima  su se povećali u odnosu na isto izvještajno razdoblje prošle godine i najveći dio povećanja se odnosi na isplatu uskrsnica umirovljenicima.</w:t>
      </w:r>
    </w:p>
    <w:p w:rsidR="000463BA" w:rsidRDefault="000463BA" w:rsidP="00FF3093"/>
    <w:p w:rsidR="00857D0C" w:rsidRDefault="003E08DC" w:rsidP="00FF3093">
      <w:r>
        <w:t>Rashodi za nab</w:t>
      </w:r>
      <w:r w:rsidR="00171C80">
        <w:t>avu nefinancijske imovine</w:t>
      </w:r>
      <w:r w:rsidR="001C3FC7">
        <w:t xml:space="preserve"> manji su u odnosu na prošlu godinu i većim d</w:t>
      </w:r>
      <w:r w:rsidR="00915B66">
        <w:t>i</w:t>
      </w:r>
      <w:r w:rsidR="001C3FC7">
        <w:t>jelom se odnose na izgradnu Sportsko rekreacijskog centra Marijanci, dok se prošle godine</w:t>
      </w:r>
      <w:r>
        <w:t xml:space="preserve"> investiralo u izgradnju </w:t>
      </w:r>
      <w:r w:rsidR="001C3FC7">
        <w:t>cesta i</w:t>
      </w:r>
      <w:r w:rsidR="00C57317">
        <w:t xml:space="preserve"> pješačkih staza</w:t>
      </w:r>
      <w:r w:rsidR="001C3FC7">
        <w:t>.</w:t>
      </w:r>
    </w:p>
    <w:p w:rsidR="00C01F9F" w:rsidRDefault="00C01F9F" w:rsidP="00FF3093"/>
    <w:p w:rsidR="00857D0C" w:rsidRDefault="00857D0C" w:rsidP="00FF3093"/>
    <w:p w:rsidR="00FF3093" w:rsidRPr="00B00FE0" w:rsidRDefault="00091B52" w:rsidP="00FF3093">
      <w:r>
        <w:t>Bilješka broj 3</w:t>
      </w:r>
      <w:r w:rsidR="00FF3093" w:rsidRPr="00B00FE0">
        <w:t xml:space="preserve">. </w:t>
      </w:r>
    </w:p>
    <w:p w:rsidR="00FF3093" w:rsidRDefault="00A30DDE" w:rsidP="00FF3093">
      <w:r>
        <w:t>Primici</w:t>
      </w:r>
      <w:r w:rsidR="00FF3093" w:rsidRPr="00B00FE0">
        <w:t xml:space="preserve"> od financijske imov</w:t>
      </w:r>
      <w:r w:rsidR="005E25C3">
        <w:t xml:space="preserve">ine i zaduživanja </w:t>
      </w:r>
      <w:r w:rsidR="001C3FC7">
        <w:t>su ostvareni u iznosu 16.503,85</w:t>
      </w:r>
      <w:r w:rsidR="00C57317">
        <w:t xml:space="preserve"> eura </w:t>
      </w:r>
      <w:r w:rsidR="00324A32">
        <w:t>i odnose</w:t>
      </w:r>
      <w:r w:rsidR="009C577F">
        <w:t xml:space="preserve"> </w:t>
      </w:r>
      <w:r w:rsidR="005E25C3">
        <w:t xml:space="preserve"> se na</w:t>
      </w:r>
      <w:r w:rsidR="009C577F">
        <w:t xml:space="preserve"> primljeni kredit </w:t>
      </w:r>
      <w:r w:rsidR="001C3FC7">
        <w:t>temeljem plaćenje situacije</w:t>
      </w:r>
      <w:r w:rsidR="001929E2">
        <w:t xml:space="preserve"> dobavljačima od strane kreditne institucije</w:t>
      </w:r>
      <w:r w:rsidR="00FF3093">
        <w:t>.</w:t>
      </w:r>
    </w:p>
    <w:p w:rsidR="00C01F9F" w:rsidRPr="00B00FE0" w:rsidRDefault="00C01F9F" w:rsidP="00FF3093"/>
    <w:p w:rsidR="00FF3093" w:rsidRPr="00B00FE0" w:rsidRDefault="00FF3093" w:rsidP="00FF3093"/>
    <w:p w:rsidR="00FF3093" w:rsidRPr="00B00FE0" w:rsidRDefault="00091B52" w:rsidP="00FF3093">
      <w:r>
        <w:t>Bilješka broj 4</w:t>
      </w:r>
      <w:r w:rsidR="00FF3093" w:rsidRPr="00B00FE0">
        <w:t xml:space="preserve">. </w:t>
      </w:r>
    </w:p>
    <w:p w:rsidR="00FF3093" w:rsidRDefault="001929E2" w:rsidP="00FF3093">
      <w:r>
        <w:t>O</w:t>
      </w:r>
      <w:r w:rsidR="00091B52">
        <w:t>stvaren je</w:t>
      </w:r>
      <w:r>
        <w:t xml:space="preserve"> višak</w:t>
      </w:r>
      <w:r w:rsidR="00FF3093">
        <w:t xml:space="preserve"> prihoda i p</w:t>
      </w:r>
      <w:r w:rsidR="000912B7">
        <w:t xml:space="preserve">rimitaka </w:t>
      </w:r>
      <w:r>
        <w:t>u iznosu 365.982,48</w:t>
      </w:r>
      <w:r w:rsidR="005E25C3">
        <w:t xml:space="preserve"> </w:t>
      </w:r>
      <w:r>
        <w:t>koji p</w:t>
      </w:r>
      <w:r w:rsidR="00A21D11">
        <w:t>r</w:t>
      </w:r>
      <w:r>
        <w:t>ikriva preneseni manja</w:t>
      </w:r>
      <w:r w:rsidR="00A21D11">
        <w:t>k</w:t>
      </w:r>
      <w:r>
        <w:t xml:space="preserve"> iz prethodnog razdoblja u iznosu 410.807,63 eura.</w:t>
      </w:r>
      <w:r w:rsidR="005E25C3">
        <w:t xml:space="preserve"> Ukupan iznos manjka prihoda i primitaka za pokriće u slje</w:t>
      </w:r>
      <w:r w:rsidR="00D72A9A">
        <w:t>d</w:t>
      </w:r>
      <w:r>
        <w:t>ećem razdoblju iznosi 44.825,16</w:t>
      </w:r>
      <w:r w:rsidR="005E25C3">
        <w:t xml:space="preserve"> eur</w:t>
      </w:r>
      <w:r w:rsidR="00D2015C">
        <w:t>a</w:t>
      </w:r>
      <w:r w:rsidR="005E25C3">
        <w:t>.</w:t>
      </w:r>
    </w:p>
    <w:p w:rsidR="005E25C3" w:rsidRDefault="005E25C3" w:rsidP="00FF3093"/>
    <w:p w:rsidR="00C01F9F" w:rsidRDefault="00C01F9F" w:rsidP="00FF3093"/>
    <w:p w:rsidR="00197634" w:rsidRDefault="00287CB3" w:rsidP="00FF3093">
      <w:r>
        <w:t xml:space="preserve"> </w:t>
      </w:r>
    </w:p>
    <w:p w:rsidR="00C01F9F" w:rsidRPr="00B00FE0" w:rsidRDefault="00C01F9F" w:rsidP="00FF3093"/>
    <w:p w:rsidR="00FF3093" w:rsidRDefault="000D2E79" w:rsidP="00FF3093">
      <w:r>
        <w:t>BILJEŠKE UZ IZVJEŠTAJ O OBVEZAMA</w:t>
      </w:r>
    </w:p>
    <w:p w:rsidR="00C01F9F" w:rsidRPr="00B00FE0" w:rsidRDefault="00C01F9F" w:rsidP="00FF3093"/>
    <w:p w:rsidR="00FF3093" w:rsidRPr="00B00FE0" w:rsidRDefault="00FF3093" w:rsidP="00FF3093"/>
    <w:p w:rsidR="00FF3093" w:rsidRPr="00B00FE0" w:rsidRDefault="00FF3093" w:rsidP="00FF3093">
      <w:r w:rsidRPr="00B00FE0">
        <w:t>Bilješka broj 7.</w:t>
      </w:r>
    </w:p>
    <w:p w:rsidR="00FF3093" w:rsidRPr="00B00FE0" w:rsidRDefault="00FF3093" w:rsidP="00FF3093">
      <w:r>
        <w:t>Stanje obveza 1.</w:t>
      </w:r>
      <w:r w:rsidR="001929E2">
        <w:t xml:space="preserve"> </w:t>
      </w:r>
      <w:r w:rsidR="00CB2C3F">
        <w:t>s</w:t>
      </w:r>
      <w:r w:rsidR="001929E2">
        <w:t>iječnja iznosilo je 1.318.099,34</w:t>
      </w:r>
      <w:r w:rsidR="009C5DDE">
        <w:t xml:space="preserve"> eur</w:t>
      </w:r>
      <w:r w:rsidR="00D2015C">
        <w:t>a</w:t>
      </w:r>
      <w:r>
        <w:t xml:space="preserve"> dok one na kraju izvještajno</w:t>
      </w:r>
      <w:r w:rsidR="00D72A9A">
        <w:t xml:space="preserve">g </w:t>
      </w:r>
      <w:r w:rsidR="001929E2">
        <w:t>razdoblja iznose 735.528,08</w:t>
      </w:r>
      <w:r w:rsidR="0013732F">
        <w:t xml:space="preserve"> </w:t>
      </w:r>
      <w:r w:rsidR="009C5DDE">
        <w:t>eur</w:t>
      </w:r>
      <w:r w:rsidR="001929E2">
        <w:t>a što je izuzetno dobar pokazatelj. Iznos od 720.033,99</w:t>
      </w:r>
      <w:r w:rsidR="009C5DDE">
        <w:t xml:space="preserve"> eur</w:t>
      </w:r>
      <w:r w:rsidR="00D2015C">
        <w:t>a</w:t>
      </w:r>
      <w:r w:rsidR="001929E2">
        <w:t xml:space="preserve"> </w:t>
      </w:r>
      <w:r w:rsidR="004761B9">
        <w:t>odnosi</w:t>
      </w:r>
      <w:r w:rsidR="001929E2">
        <w:t xml:space="preserve"> se</w:t>
      </w:r>
      <w:r w:rsidR="004761B9">
        <w:t xml:space="preserve"> na nedospjele obveze za financijsku i</w:t>
      </w:r>
      <w:r w:rsidR="002F203D">
        <w:t>movinu</w:t>
      </w:r>
      <w:r w:rsidR="001929E2">
        <w:t>, nabavu nefinancijske imovine i rashode za zaposlene</w:t>
      </w:r>
      <w:r w:rsidR="002F203D">
        <w:t xml:space="preserve">. </w:t>
      </w:r>
      <w:r w:rsidR="001929E2">
        <w:t>Dospjele obveze iznose 15.494,09 eura.</w:t>
      </w:r>
    </w:p>
    <w:p w:rsidR="00C01F9F" w:rsidRDefault="00C01F9F" w:rsidP="00FF3093"/>
    <w:p w:rsidR="00FF3093" w:rsidRDefault="00FF3093" w:rsidP="00FF3093">
      <w:pPr>
        <w:pStyle w:val="NormalWeb"/>
        <w:spacing w:after="0" w:line="240" w:lineRule="auto"/>
      </w:pPr>
      <w:r w:rsidRPr="00B00FE0">
        <w:t>Tablica primljenih robnih kredita i financijskih zajmova</w:t>
      </w:r>
    </w:p>
    <w:p w:rsidR="00FF3093" w:rsidRPr="00B00FE0" w:rsidRDefault="00FF3093" w:rsidP="00FF3093">
      <w:pPr>
        <w:pStyle w:val="NormalWeb"/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48"/>
        <w:gridCol w:w="2646"/>
        <w:gridCol w:w="1559"/>
        <w:gridCol w:w="1369"/>
        <w:gridCol w:w="1858"/>
      </w:tblGrid>
      <w:tr w:rsidR="00FF3093" w:rsidRPr="00B00FE0" w:rsidTr="000D2D7C">
        <w:tc>
          <w:tcPr>
            <w:tcW w:w="174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NAZIV PRAVNE OSOBE</w:t>
            </w:r>
          </w:p>
        </w:tc>
        <w:tc>
          <w:tcPr>
            <w:tcW w:w="2646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 VRSTE KREDITA</w:t>
            </w:r>
          </w:p>
        </w:tc>
        <w:tc>
          <w:tcPr>
            <w:tcW w:w="1559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1.1.</w:t>
            </w:r>
          </w:p>
        </w:tc>
        <w:tc>
          <w:tcPr>
            <w:tcW w:w="1369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OTPLATA</w:t>
            </w:r>
          </w:p>
        </w:tc>
        <w:tc>
          <w:tcPr>
            <w:tcW w:w="1858" w:type="dxa"/>
          </w:tcPr>
          <w:p w:rsidR="00FF3093" w:rsidRPr="00B00FE0" w:rsidRDefault="002E59C4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31.03.2025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0D2D7C">
        <w:tc>
          <w:tcPr>
            <w:tcW w:w="174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559" w:type="dxa"/>
          </w:tcPr>
          <w:p w:rsidR="00FF3093" w:rsidRPr="00B00FE0" w:rsidRDefault="001929E2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319.198,43</w:t>
            </w:r>
          </w:p>
        </w:tc>
        <w:tc>
          <w:tcPr>
            <w:tcW w:w="1369" w:type="dxa"/>
          </w:tcPr>
          <w:p w:rsidR="00FF3093" w:rsidRPr="00B00FE0" w:rsidRDefault="001929E2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15.319,97</w:t>
            </w:r>
          </w:p>
        </w:tc>
        <w:tc>
          <w:tcPr>
            <w:tcW w:w="1858" w:type="dxa"/>
          </w:tcPr>
          <w:p w:rsidR="00FF3093" w:rsidRPr="00B00FE0" w:rsidRDefault="002E59C4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303.238,52</w:t>
            </w:r>
          </w:p>
        </w:tc>
      </w:tr>
      <w:tr w:rsidR="00FF3093" w:rsidRPr="00B00FE0" w:rsidTr="000D2D7C">
        <w:tc>
          <w:tcPr>
            <w:tcW w:w="174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559" w:type="dxa"/>
          </w:tcPr>
          <w:p w:rsidR="00FF3093" w:rsidRPr="00B00FE0" w:rsidRDefault="002E59C4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37.671.51</w:t>
            </w:r>
          </w:p>
        </w:tc>
        <w:tc>
          <w:tcPr>
            <w:tcW w:w="1369" w:type="dxa"/>
          </w:tcPr>
          <w:p w:rsidR="00FF3093" w:rsidRPr="00B00FE0" w:rsidRDefault="002E59C4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18.835,74</w:t>
            </w:r>
          </w:p>
        </w:tc>
        <w:tc>
          <w:tcPr>
            <w:tcW w:w="1858" w:type="dxa"/>
          </w:tcPr>
          <w:p w:rsidR="00FF3093" w:rsidRPr="00B00FE0" w:rsidRDefault="002E59C4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18.835,77</w:t>
            </w:r>
          </w:p>
        </w:tc>
      </w:tr>
      <w:tr w:rsidR="00113166" w:rsidRPr="00B00FE0" w:rsidTr="000D2D7C">
        <w:tc>
          <w:tcPr>
            <w:tcW w:w="1748" w:type="dxa"/>
          </w:tcPr>
          <w:p w:rsidR="00113166" w:rsidRPr="00B00FE0" w:rsidRDefault="00113166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Privredna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banka</w:t>
            </w:r>
            <w:proofErr w:type="spellEnd"/>
            <w:r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113166" w:rsidRDefault="00113166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559" w:type="dxa"/>
          </w:tcPr>
          <w:p w:rsidR="00113166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369" w:type="dxa"/>
          </w:tcPr>
          <w:p w:rsidR="00113166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113166" w:rsidRDefault="00A21D11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337.596,06</w:t>
            </w:r>
          </w:p>
        </w:tc>
      </w:tr>
      <w:tr w:rsidR="000D2D7C" w:rsidRPr="00B00FE0" w:rsidTr="000D2D7C">
        <w:trPr>
          <w:trHeight w:val="488"/>
        </w:trPr>
        <w:tc>
          <w:tcPr>
            <w:tcW w:w="9180" w:type="dxa"/>
            <w:gridSpan w:val="5"/>
          </w:tcPr>
          <w:p w:rsidR="000D2D7C" w:rsidRPr="00384CF5" w:rsidRDefault="002E59C4" w:rsidP="000D2D7C">
            <w:pPr>
              <w:pStyle w:val="NormalWeb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0D2D7C">
              <w:rPr>
                <w:b/>
                <w:lang w:val="en-US"/>
              </w:rPr>
              <w:t xml:space="preserve">UKUPNO:           </w:t>
            </w:r>
            <w:r w:rsidR="00A21D11">
              <w:rPr>
                <w:b/>
                <w:lang w:val="en-US"/>
              </w:rPr>
              <w:t>659.670,35</w:t>
            </w:r>
          </w:p>
        </w:tc>
      </w:tr>
    </w:tbl>
    <w:p w:rsidR="002E59C4" w:rsidRDefault="002E59C4" w:rsidP="00FF3093">
      <w:pPr>
        <w:pStyle w:val="NormalWeb"/>
        <w:spacing w:after="0" w:line="240" w:lineRule="auto"/>
        <w:rPr>
          <w:lang w:val="en-US"/>
        </w:rPr>
      </w:pPr>
    </w:p>
    <w:p w:rsidR="002E59C4" w:rsidRDefault="002E59C4" w:rsidP="00FF3093">
      <w:pPr>
        <w:pStyle w:val="NormalWeb"/>
        <w:spacing w:after="0" w:line="240" w:lineRule="auto"/>
        <w:rPr>
          <w:lang w:val="en-US"/>
        </w:rPr>
      </w:pPr>
      <w:proofErr w:type="gramStart"/>
      <w:r>
        <w:rPr>
          <w:lang w:val="en-US"/>
        </w:rPr>
        <w:lastRenderedPageBreak/>
        <w:t xml:space="preserve">Na </w:t>
      </w:r>
      <w:proofErr w:type="spellStart"/>
      <w:r>
        <w:rPr>
          <w:lang w:val="en-US"/>
        </w:rPr>
        <w:t>kraju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izvještajnog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razdoblja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postoje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obveze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osnove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kratkoročnih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obveza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FF3093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Tablica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dospjelih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kamata</w:t>
      </w:r>
      <w:proofErr w:type="spellEnd"/>
      <w:r w:rsidRPr="00B00FE0">
        <w:rPr>
          <w:lang w:val="en-US"/>
        </w:rPr>
        <w:t xml:space="preserve"> </w:t>
      </w:r>
      <w:proofErr w:type="spellStart"/>
      <w:proofErr w:type="gramStart"/>
      <w:r w:rsidRPr="00B00FE0">
        <w:rPr>
          <w:lang w:val="en-US"/>
        </w:rPr>
        <w:t>na</w:t>
      </w:r>
      <w:proofErr w:type="spellEnd"/>
      <w:proofErr w:type="gram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zajmove</w:t>
      </w:r>
      <w:proofErr w:type="spellEnd"/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764"/>
        <w:gridCol w:w="1963"/>
        <w:gridCol w:w="1963"/>
        <w:gridCol w:w="1765"/>
      </w:tblGrid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01.01.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DOSPJELE U IZVJEŠTAJNOM RAZDOBLJU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PLAĆENE U IZVJEŠTAJNOM RAZDOBLJU</w:t>
            </w:r>
          </w:p>
        </w:tc>
        <w:tc>
          <w:tcPr>
            <w:tcW w:w="1858" w:type="dxa"/>
          </w:tcPr>
          <w:p w:rsidR="00FF3093" w:rsidRPr="00B00FE0" w:rsidRDefault="002E59C4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31.03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A. KAMATE PO PRIMLJENIM ZAJMOVIMA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2E59C4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3.921,93</w:t>
            </w:r>
          </w:p>
        </w:tc>
        <w:tc>
          <w:tcPr>
            <w:tcW w:w="1858" w:type="dxa"/>
          </w:tcPr>
          <w:p w:rsidR="00FF3093" w:rsidRPr="00B00FE0" w:rsidRDefault="00CB2C3F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3.921,93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A. 1. PO TUZEMNIM ZAJMOVIMA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UKUPNO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2E59C4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3.921,93</w:t>
            </w:r>
          </w:p>
        </w:tc>
        <w:tc>
          <w:tcPr>
            <w:tcW w:w="1858" w:type="dxa"/>
          </w:tcPr>
          <w:p w:rsidR="00FF3093" w:rsidRPr="00B00FE0" w:rsidRDefault="002E59C4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3.921,93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</w:tbl>
    <w:p w:rsidR="00FF3093" w:rsidRPr="00B00FE0" w:rsidRDefault="00912E86" w:rsidP="00FF3093">
      <w:pPr>
        <w:pStyle w:val="NormalWeb"/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Marijanci</w:t>
      </w:r>
      <w:proofErr w:type="spellEnd"/>
      <w:r>
        <w:rPr>
          <w:lang w:val="en-US"/>
        </w:rPr>
        <w:t xml:space="preserve">, </w:t>
      </w:r>
      <w:r w:rsidR="002E59C4">
        <w:rPr>
          <w:lang w:val="en-US"/>
        </w:rPr>
        <w:t xml:space="preserve">10 </w:t>
      </w:r>
      <w:proofErr w:type="spellStart"/>
      <w:r w:rsidR="002E59C4">
        <w:rPr>
          <w:lang w:val="en-US"/>
        </w:rPr>
        <w:t>travnja</w:t>
      </w:r>
      <w:proofErr w:type="spellEnd"/>
      <w:r w:rsidR="00705626">
        <w:rPr>
          <w:lang w:val="en-US"/>
        </w:rPr>
        <w:t xml:space="preserve"> 2025</w:t>
      </w:r>
      <w:r w:rsidR="00FF3093" w:rsidRPr="00B00FE0">
        <w:rPr>
          <w:lang w:val="en-US"/>
        </w:rPr>
        <w:t>.</w:t>
      </w:r>
      <w:proofErr w:type="gramEnd"/>
      <w:r w:rsidR="00FF3093" w:rsidRPr="00B00FE0">
        <w:rPr>
          <w:lang w:val="en-US"/>
        </w:rPr>
        <w:t xml:space="preserve"> </w:t>
      </w:r>
      <w:proofErr w:type="spellStart"/>
      <w:proofErr w:type="gramStart"/>
      <w:r w:rsidR="00FF3093" w:rsidRPr="00B00FE0">
        <w:rPr>
          <w:lang w:val="en-US"/>
        </w:rPr>
        <w:t>godine</w:t>
      </w:r>
      <w:proofErr w:type="spellEnd"/>
      <w:proofErr w:type="gramEnd"/>
      <w:r w:rsidR="00FF3093" w:rsidRPr="00B00FE0">
        <w:rPr>
          <w:lang w:val="en-US"/>
        </w:rPr>
        <w:t>.</w:t>
      </w: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Osoba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kontaktiranje</w:t>
      </w:r>
      <w:proofErr w:type="spellEnd"/>
      <w:r w:rsidRPr="00B00FE0">
        <w:rPr>
          <w:lang w:val="en-US"/>
        </w:rPr>
        <w:t xml:space="preserve">: </w:t>
      </w:r>
      <w:proofErr w:type="spellStart"/>
      <w:r w:rsidRPr="00B00FE0">
        <w:rPr>
          <w:lang w:val="en-US"/>
        </w:rPr>
        <w:t>Dijana</w:t>
      </w:r>
      <w:proofErr w:type="spellEnd"/>
      <w:r w:rsidRPr="00B00FE0">
        <w:rPr>
          <w:lang w:val="en-US"/>
        </w:rPr>
        <w:t xml:space="preserve"> Alšić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="00C054E9">
        <w:rPr>
          <w:lang w:val="en-US"/>
        </w:rPr>
        <w:t xml:space="preserve"> </w:t>
      </w:r>
      <w:r w:rsidRPr="00B00FE0">
        <w:rPr>
          <w:lang w:val="en-US"/>
        </w:rPr>
        <w:tab/>
      </w:r>
    </w:p>
    <w:p w:rsidR="00FF3093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Telefon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</w:t>
      </w:r>
      <w:proofErr w:type="spellEnd"/>
      <w:r w:rsidRPr="00B00FE0">
        <w:rPr>
          <w:lang w:val="en-US"/>
        </w:rPr>
        <w:t>: 031/643-100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>
        <w:rPr>
          <w:lang w:val="en-US"/>
        </w:rPr>
        <w:t>Zakoniti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predstavnik</w:t>
      </w:r>
      <w:proofErr w:type="spellEnd"/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(</w:t>
      </w:r>
      <w:proofErr w:type="spellStart"/>
      <w:proofErr w:type="gramStart"/>
      <w:r w:rsidRPr="00B00FE0">
        <w:rPr>
          <w:lang w:val="en-US"/>
        </w:rPr>
        <w:t>potpis</w:t>
      </w:r>
      <w:proofErr w:type="spellEnd"/>
      <w:proofErr w:type="gramEnd"/>
      <w:r w:rsidRPr="00B00FE0">
        <w:rPr>
          <w:lang w:val="en-US"/>
        </w:rPr>
        <w:t>)</w:t>
      </w: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____________________________</w:t>
      </w:r>
    </w:p>
    <w:p w:rsidR="00166D9E" w:rsidRPr="00C054E9" w:rsidRDefault="00FF3093" w:rsidP="00C054E9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 w:rsidRPr="00B00FE0">
        <w:rPr>
          <w:lang w:val="en-US"/>
        </w:rPr>
        <w:t>Zakoniti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predstavnik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Darko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Dorkić</w:t>
      </w:r>
      <w:proofErr w:type="spellEnd"/>
    </w:p>
    <w:sectPr w:rsidR="00166D9E" w:rsidRPr="00C0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4BF"/>
    <w:multiLevelType w:val="hybridMultilevel"/>
    <w:tmpl w:val="904AD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BFD"/>
    <w:multiLevelType w:val="hybridMultilevel"/>
    <w:tmpl w:val="35A68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A4"/>
    <w:rsid w:val="00030D73"/>
    <w:rsid w:val="000463BA"/>
    <w:rsid w:val="00084090"/>
    <w:rsid w:val="000912B7"/>
    <w:rsid w:val="00091B52"/>
    <w:rsid w:val="000C0A28"/>
    <w:rsid w:val="000C2C92"/>
    <w:rsid w:val="000D2D7C"/>
    <w:rsid w:val="000D2E79"/>
    <w:rsid w:val="000E2CEF"/>
    <w:rsid w:val="000E472A"/>
    <w:rsid w:val="000F6E1B"/>
    <w:rsid w:val="00113166"/>
    <w:rsid w:val="0013732F"/>
    <w:rsid w:val="00166D9E"/>
    <w:rsid w:val="00171C80"/>
    <w:rsid w:val="001929E2"/>
    <w:rsid w:val="00197634"/>
    <w:rsid w:val="001C3FC7"/>
    <w:rsid w:val="001C4718"/>
    <w:rsid w:val="001D4B9A"/>
    <w:rsid w:val="001E2985"/>
    <w:rsid w:val="001F546B"/>
    <w:rsid w:val="002046FD"/>
    <w:rsid w:val="002051DA"/>
    <w:rsid w:val="00211D95"/>
    <w:rsid w:val="00214328"/>
    <w:rsid w:val="0022050A"/>
    <w:rsid w:val="0024283C"/>
    <w:rsid w:val="002521E4"/>
    <w:rsid w:val="00255435"/>
    <w:rsid w:val="00285BBD"/>
    <w:rsid w:val="00287CB3"/>
    <w:rsid w:val="00296A0C"/>
    <w:rsid w:val="002E03C5"/>
    <w:rsid w:val="002E3A3E"/>
    <w:rsid w:val="002E59C4"/>
    <w:rsid w:val="002F203D"/>
    <w:rsid w:val="002F38EB"/>
    <w:rsid w:val="00306361"/>
    <w:rsid w:val="003212E2"/>
    <w:rsid w:val="00324A32"/>
    <w:rsid w:val="00384CF5"/>
    <w:rsid w:val="003D49C4"/>
    <w:rsid w:val="003D5A21"/>
    <w:rsid w:val="003E08DC"/>
    <w:rsid w:val="003E0D41"/>
    <w:rsid w:val="00410453"/>
    <w:rsid w:val="004232F1"/>
    <w:rsid w:val="004705F7"/>
    <w:rsid w:val="00472689"/>
    <w:rsid w:val="00473744"/>
    <w:rsid w:val="004761B9"/>
    <w:rsid w:val="004813AB"/>
    <w:rsid w:val="00495074"/>
    <w:rsid w:val="004F43F3"/>
    <w:rsid w:val="005140F9"/>
    <w:rsid w:val="005402C9"/>
    <w:rsid w:val="00540411"/>
    <w:rsid w:val="00550031"/>
    <w:rsid w:val="00582535"/>
    <w:rsid w:val="00592193"/>
    <w:rsid w:val="005C0A9D"/>
    <w:rsid w:val="005E25C3"/>
    <w:rsid w:val="005F1146"/>
    <w:rsid w:val="005F6827"/>
    <w:rsid w:val="00617D72"/>
    <w:rsid w:val="00663BEE"/>
    <w:rsid w:val="00673668"/>
    <w:rsid w:val="006B7520"/>
    <w:rsid w:val="006E2AE9"/>
    <w:rsid w:val="006F4D94"/>
    <w:rsid w:val="006F7B40"/>
    <w:rsid w:val="00704BFC"/>
    <w:rsid w:val="00705626"/>
    <w:rsid w:val="00715CF5"/>
    <w:rsid w:val="00724979"/>
    <w:rsid w:val="00734DC7"/>
    <w:rsid w:val="00755E27"/>
    <w:rsid w:val="00771F26"/>
    <w:rsid w:val="00796C81"/>
    <w:rsid w:val="007B7A9E"/>
    <w:rsid w:val="007D0B14"/>
    <w:rsid w:val="007E0616"/>
    <w:rsid w:val="008328A5"/>
    <w:rsid w:val="008523A4"/>
    <w:rsid w:val="00857D0C"/>
    <w:rsid w:val="00885634"/>
    <w:rsid w:val="0089159E"/>
    <w:rsid w:val="00897B6F"/>
    <w:rsid w:val="008B1B97"/>
    <w:rsid w:val="008B3EF1"/>
    <w:rsid w:val="008D553F"/>
    <w:rsid w:val="008D70C4"/>
    <w:rsid w:val="008F6276"/>
    <w:rsid w:val="00912C93"/>
    <w:rsid w:val="00912E86"/>
    <w:rsid w:val="00915B66"/>
    <w:rsid w:val="00984CCB"/>
    <w:rsid w:val="00993518"/>
    <w:rsid w:val="00993FE8"/>
    <w:rsid w:val="009A6CF3"/>
    <w:rsid w:val="009C577F"/>
    <w:rsid w:val="009C5DDE"/>
    <w:rsid w:val="009F7B98"/>
    <w:rsid w:val="00A21D11"/>
    <w:rsid w:val="00A30DDE"/>
    <w:rsid w:val="00A50283"/>
    <w:rsid w:val="00A62170"/>
    <w:rsid w:val="00A65FCA"/>
    <w:rsid w:val="00A663B9"/>
    <w:rsid w:val="00A764D7"/>
    <w:rsid w:val="00A84CB8"/>
    <w:rsid w:val="00AB404B"/>
    <w:rsid w:val="00AF4106"/>
    <w:rsid w:val="00B07911"/>
    <w:rsid w:val="00B15E32"/>
    <w:rsid w:val="00B204C4"/>
    <w:rsid w:val="00B3761A"/>
    <w:rsid w:val="00B850CC"/>
    <w:rsid w:val="00BC46BA"/>
    <w:rsid w:val="00BC7E64"/>
    <w:rsid w:val="00BD572E"/>
    <w:rsid w:val="00BE11C6"/>
    <w:rsid w:val="00BE4F45"/>
    <w:rsid w:val="00BE6F33"/>
    <w:rsid w:val="00BF29D1"/>
    <w:rsid w:val="00BF4B41"/>
    <w:rsid w:val="00C01F9F"/>
    <w:rsid w:val="00C054E9"/>
    <w:rsid w:val="00C12332"/>
    <w:rsid w:val="00C15DB7"/>
    <w:rsid w:val="00C16B6E"/>
    <w:rsid w:val="00C2248B"/>
    <w:rsid w:val="00C36B8B"/>
    <w:rsid w:val="00C556CF"/>
    <w:rsid w:val="00C57317"/>
    <w:rsid w:val="00C57C41"/>
    <w:rsid w:val="00CA38EE"/>
    <w:rsid w:val="00CB2C3F"/>
    <w:rsid w:val="00CD54D0"/>
    <w:rsid w:val="00CE31B3"/>
    <w:rsid w:val="00D2015C"/>
    <w:rsid w:val="00D21D90"/>
    <w:rsid w:val="00D344B5"/>
    <w:rsid w:val="00D72A9A"/>
    <w:rsid w:val="00D938E5"/>
    <w:rsid w:val="00DA7D7A"/>
    <w:rsid w:val="00DB0CAA"/>
    <w:rsid w:val="00DD2008"/>
    <w:rsid w:val="00E0136D"/>
    <w:rsid w:val="00E26CDE"/>
    <w:rsid w:val="00E528A0"/>
    <w:rsid w:val="00E5634B"/>
    <w:rsid w:val="00EA500D"/>
    <w:rsid w:val="00ED6091"/>
    <w:rsid w:val="00ED6531"/>
    <w:rsid w:val="00F2174F"/>
    <w:rsid w:val="00F577E7"/>
    <w:rsid w:val="00F60C6A"/>
    <w:rsid w:val="00F67E45"/>
    <w:rsid w:val="00F87022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TableGrid">
    <w:name w:val="Table Grid"/>
    <w:basedOn w:val="TableNormal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C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TableGrid">
    <w:name w:val="Table Grid"/>
    <w:basedOn w:val="TableNormal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C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99EA-E3EF-49AD-9BCE-95052EAA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21</cp:revision>
  <cp:lastPrinted>2025-04-11T08:01:00Z</cp:lastPrinted>
  <dcterms:created xsi:type="dcterms:W3CDTF">2023-02-13T11:39:00Z</dcterms:created>
  <dcterms:modified xsi:type="dcterms:W3CDTF">2025-04-11T08:13:00Z</dcterms:modified>
</cp:coreProperties>
</file>